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50" w:type="dxa"/>
        <w:jc w:val="center"/>
        <w:tblInd w:w="0" w:type="dxa"/>
        <w:tblLook w:val="0000"/>
      </w:tblPr>
      <w:tblGrid>
        <w:gridCol w:w="4467"/>
        <w:gridCol w:w="1595"/>
        <w:gridCol w:w="1849"/>
        <w:gridCol w:w="1539"/>
      </w:tblGrid>
      <w:tr w:rsidR="00000000">
        <w:trPr>
          <w:trHeight w:val="390"/>
          <w:jc w:val="center"/>
        </w:trPr>
        <w:tc>
          <w:tcPr>
            <w:tcW w:w="945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8"/>
                <w:szCs w:val="28"/>
                <w:lang/>
              </w:rPr>
              <w:t>利润表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湖南金色物业发展有限公司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2021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单位：元</w:t>
            </w:r>
          </w:p>
        </w:tc>
      </w:tr>
      <w:tr w:rsidR="00000000">
        <w:trPr>
          <w:trHeight w:val="33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项目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行次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本年累计金额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本月金额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一、营业收入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40,873,263.44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4,865,938.79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减：营业成本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35,909,751.75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4,351,453.88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税金及附加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246,550.85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22,530.27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其中：消费税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营业税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城市维护建设税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资源税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土地增值税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城镇土地使用税、房产税、车船税、印花税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教育费附加、矿产资源补偿税、排污费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销售费用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其中：商品维修费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广告费和业务宣传费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管理费用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6,831,312.66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584,828.91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其中：开办费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业务招待费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研究费用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财务费用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2,790.01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-471.74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其中：利息费用（收入以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“-”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加：投资收益（损失以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“-”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二、营业利润（亏损以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“-”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-2,117,141.83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-92,402.53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加：营业外收入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2,2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92,668.13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178,046.06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其中：政府补助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2,292,668.13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178,046.06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减：营业外支出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6,280.65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其中：坏账损失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无法收回的长期债券投资损失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无法收回的长期股权投资损失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自然灾害等不可抗力因素造成的损失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税收滞纳金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三、利润总额（亏损总额以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“-”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169,245.65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85,643.53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减：所得税费用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42,311.41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00000" w:rsidRDefault="00926E5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27,809.05 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四：净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利润（净亏损以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“-”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145,172.19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57,834.48 </w:t>
            </w:r>
          </w:p>
        </w:tc>
      </w:tr>
    </w:tbl>
    <w:p w:rsidR="00000000" w:rsidRDefault="00926E54"/>
    <w:p w:rsidR="00000000" w:rsidRDefault="00926E54"/>
    <w:p w:rsidR="00000000" w:rsidRDefault="00926E54"/>
    <w:p w:rsidR="00000000" w:rsidRDefault="00926E54"/>
    <w:p w:rsidR="00000000" w:rsidRDefault="00926E54"/>
    <w:p w:rsidR="00000000" w:rsidRDefault="00926E54"/>
    <w:p w:rsidR="00000000" w:rsidRDefault="00926E54">
      <w:pPr>
        <w:sectPr w:rsidR="00000000">
          <w:pgSz w:w="11906" w:h="16838"/>
          <w:pgMar w:top="1701" w:right="1134" w:bottom="1701" w:left="1134" w:header="851" w:footer="992" w:gutter="0"/>
          <w:cols w:space="720"/>
          <w:docGrid w:type="lines" w:linePitch="312"/>
        </w:sectPr>
      </w:pPr>
    </w:p>
    <w:tbl>
      <w:tblPr>
        <w:tblW w:w="15540" w:type="dxa"/>
        <w:jc w:val="center"/>
        <w:tblInd w:w="0" w:type="dxa"/>
        <w:tblLook w:val="0000"/>
      </w:tblPr>
      <w:tblGrid>
        <w:gridCol w:w="2282"/>
        <w:gridCol w:w="877"/>
        <w:gridCol w:w="1740"/>
        <w:gridCol w:w="1740"/>
        <w:gridCol w:w="4545"/>
        <w:gridCol w:w="877"/>
        <w:gridCol w:w="1740"/>
        <w:gridCol w:w="1740"/>
      </w:tblGrid>
      <w:tr w:rsidR="00000000">
        <w:trPr>
          <w:trHeight w:val="390"/>
          <w:jc w:val="center"/>
        </w:trPr>
        <w:tc>
          <w:tcPr>
            <w:tcW w:w="155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8"/>
                <w:szCs w:val="28"/>
                <w:lang/>
              </w:rPr>
              <w:lastRenderedPageBreak/>
              <w:t>资产负债表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湖南金色物业发展有限公司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2021-12-31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单位：元</w:t>
            </w:r>
          </w:p>
        </w:tc>
      </w:tr>
      <w:tr w:rsidR="00000000">
        <w:trPr>
          <w:trHeight w:val="33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资产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行次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期末数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年初数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负债和所有者（或股东）权益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行次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期末数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年初数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流动资产：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流动负债：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货币资金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737,867.82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369,116.60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短期借款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短期投资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应付票据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应收票据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应付账款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应收账款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2,623,543.01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1,160,075.73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预收账款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预付账款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232548.01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173,517.20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应付职工薪酬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应收股利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应交税费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44,476.53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57,230.54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应收利息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应付利息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其他应收款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1,681,054.94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2,591,794.14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应付利润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存货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94,800.00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232,800.00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其他应付款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1,036,378.21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47,233.68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其中：原材料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其他流动负债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在产品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138,00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流动负债合计：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1,080,854.74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104,464.22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库存商品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非流动负债：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周转材料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94,800.00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长期借款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其他流动资产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长期应付款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流动资产合计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5369813.78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4,527,303.67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递延收益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非流动资产：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其他非流动负债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长期债券投资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非流动负债合计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长期股权投资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负债合计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1,080,854.74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104,464.2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固定资产原价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1,454,473.71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1,366,473.71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减：累计折旧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753,163.59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753,163.59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固定资产账面价值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701,310.12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613,310.12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lastRenderedPageBreak/>
              <w:t>在建工程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工程物资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固定资产清理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生产性生物资产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所有者权益（或股东权益）：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无形资产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实收资本（或股本）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5,000,000.00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5,000,000.00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开发支出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资本公积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长期待摊费用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156,189.00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盈余公积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21,080.52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21,080.52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其他非流动资产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未分配利润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125,377.64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15,069.05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非流动资产合计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857,499.12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613,310.12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所有者权益（或股东权益）合计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5,146,458.16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5,036,149.57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资产总计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6227312.90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5,140,613.79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负债和所有者权益（或股东权益）总计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 xml:space="preserve">6,227,312.90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5,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140,613.79</w:t>
            </w:r>
          </w:p>
        </w:tc>
      </w:tr>
    </w:tbl>
    <w:p w:rsidR="00000000" w:rsidRDefault="00926E54">
      <w:pPr>
        <w:sectPr w:rsidR="00000000">
          <w:pgSz w:w="16838" w:h="11906" w:orient="landscape"/>
          <w:pgMar w:top="1701" w:right="567" w:bottom="1701" w:left="567" w:header="851" w:footer="992" w:gutter="0"/>
          <w:cols w:space="720"/>
          <w:docGrid w:type="lines" w:linePitch="312"/>
        </w:sectPr>
      </w:pPr>
    </w:p>
    <w:tbl>
      <w:tblPr>
        <w:tblStyle w:val="a"/>
        <w:tblW w:w="10770" w:type="dxa"/>
        <w:jc w:val="center"/>
        <w:tblInd w:w="0" w:type="dxa"/>
        <w:tblLook w:val="0000"/>
      </w:tblPr>
      <w:tblGrid>
        <w:gridCol w:w="5954"/>
        <w:gridCol w:w="1576"/>
        <w:gridCol w:w="1595"/>
        <w:gridCol w:w="1645"/>
      </w:tblGrid>
      <w:tr w:rsidR="00000000">
        <w:trPr>
          <w:trHeight w:val="390"/>
          <w:jc w:val="center"/>
        </w:trPr>
        <w:tc>
          <w:tcPr>
            <w:tcW w:w="107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8"/>
                <w:szCs w:val="28"/>
                <w:lang/>
              </w:rPr>
              <w:lastRenderedPageBreak/>
              <w:t>现金流量表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湖南金色物业发展有限公司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2021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期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单位：元</w:t>
            </w:r>
          </w:p>
        </w:tc>
      </w:tr>
      <w:tr w:rsidR="00000000">
        <w:trPr>
          <w:trHeight w:val="33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项目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行次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本月数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Courier New" w:hAnsi="Courier New" w:cs="Courier New"/>
                <w:b/>
                <w:bCs/>
                <w:color w:val="000000"/>
                <w:sz w:val="2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kern w:val="0"/>
                <w:sz w:val="24"/>
                <w:lang/>
              </w:rPr>
              <w:t>本年数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一、经营活动产生的现金流量：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销售产成品、商品、提供劳务收到的现金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6,517,914.41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39,409,796.16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收到其他与经营活动有关的现金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628,023.16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31,162,942.98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购买原材料、商品、接受劳务支付的现金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3,825,608.05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35,798,546.09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支付的职工薪酬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3,033,950.68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34,098,347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.91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支付的税费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46,279.27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支付其他与经营活动有关的现金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经营活动产生的现金流量净额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286,378.84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629,565.87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二、投资活动产生的现金流量：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收回短期投资、长期债券投资和长期股权投资收到的现金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取得投资收益收到的现金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处置固定资产、无形资产和其他非流动资产收回的现金净额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短期投资、长期债券投资和长期股权投资支付的现金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购建固定资产、无形资产和其他非流动资产支付的现金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244,189.00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投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资活动产生的现金流量净额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-244,189.00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三、筹资活动产生的现金流量：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取得借款收到的现金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吸收投资者投资收到的现金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偿还借款本金支付的现金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偿还借款利息支付的现金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分配利润支付的现金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16,625.65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筹资活动产生的现金流量净额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-16,625.65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四、现金净增加额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286,378.84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368,751.22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加：期初现金余额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451,488.98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369,116.60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五、期末现金余额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737,867.82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737,867.82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补　　充　　资　　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、将净利润调节为经营活动现金流量：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净利润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-12,411.97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126,934.24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加：计提的资产减值准备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固定资产折旧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无形资产摊销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长期待摊费用摊销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处置固定资产、无形资产和其他长期资产的损失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减：收益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lastRenderedPageBreak/>
              <w:t>固定资产报废损失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公允价值变动损失（收益以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－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财务费用（减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：收入）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-914.24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-2,711.09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投资损失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减：收益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递延所得税资产减少（增加以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－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递延所得税负债增加（减少以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“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－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”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号填列）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存货的减少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减：增加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404,180.94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138,000.00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经营性应收项目的减少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减：增加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1,588,457.21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-379,210.88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经营性应付项目的增加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减：减少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-1,693,847.34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743,842.51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其他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914.24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2,711.09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经营活动产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生的现金流量净额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286,378.84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629,565.87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、不涉及现金收支的投资和筹资活动：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债务转为资本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一年内到期的可转换公司债券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融资租入固定资产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、现金及现金等价物净增加情况：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现金的期末余额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737,867.82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737,867.82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减：现金的期初余额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451,488.98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369,116.60</w:t>
            </w: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加：现金等价物的期末余额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减：现金等价物的期初余额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25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lef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现金及现金等价物净增加额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86,378.84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00000" w:rsidRDefault="00926E54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368,751.22</w:t>
            </w:r>
          </w:p>
        </w:tc>
      </w:tr>
    </w:tbl>
    <w:p w:rsidR="00926E54" w:rsidRDefault="00926E54"/>
    <w:sectPr w:rsidR="00926E54">
      <w:pgSz w:w="11906" w:h="16838"/>
      <w:pgMar w:top="1701" w:right="567" w:bottom="1701" w:left="56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12FE"/>
    <w:rsid w:val="005112FE"/>
    <w:rsid w:val="00926E54"/>
    <w:rsid w:val="4055530E"/>
    <w:rsid w:val="78D27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538</Words>
  <Characters>3069</Characters>
  <Application>Microsoft Office Word</Application>
  <DocSecurity>0</DocSecurity>
  <Lines>25</Lines>
  <Paragraphs>7</Paragraphs>
  <ScaleCrop>false</ScaleCrop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2022-02-08T03:32:00Z</dcterms:created>
  <dcterms:modified xsi:type="dcterms:W3CDTF">2022-02-08T03:32:00Z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B040F368325F47BDB11B8648C59C2E4E</vt:lpwstr>
  </property>
</Properties>
</file>